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394C4" w14:textId="77777777" w:rsidR="00993AFE" w:rsidRDefault="00753F68" w:rsidP="009C6B40">
      <w:r>
        <w:rPr>
          <w:rFonts w:ascii="Times New Roman" w:hAnsi="Times New Roman" w:cs="Times New Roman"/>
          <w:b/>
          <w:sz w:val="40"/>
        </w:rPr>
        <w:t>Gennemgang af de danske oversættelser af direktivtekster om grundvand og nitrat</w:t>
      </w:r>
    </w:p>
    <w:p w14:paraId="351F1099" w14:textId="77777777" w:rsidR="00993AFE" w:rsidRDefault="00993AFE" w:rsidP="009C6B40"/>
    <w:p w14:paraId="03CC9EEB" w14:textId="77777777" w:rsidR="00993AFE" w:rsidRPr="009C6B40" w:rsidRDefault="00753F68" w:rsidP="009C6B40">
      <w:pPr>
        <w:jc w:val="right"/>
      </w:pPr>
      <w:r w:rsidRPr="009C6B40">
        <w:rPr>
          <w:rFonts w:ascii="Times New Roman" w:hAnsi="Times New Roman" w:cs="Times New Roman"/>
          <w:b/>
        </w:rPr>
        <w:t>5. juni 2019</w:t>
      </w:r>
    </w:p>
    <w:p w14:paraId="5BF94EF9" w14:textId="77777777" w:rsidR="00993AFE" w:rsidRDefault="00753F68">
      <w:pPr>
        <w:jc w:val="center"/>
      </w:pPr>
      <w:r>
        <w:rPr>
          <w:rFonts w:ascii="Times New Roman" w:hAnsi="Times New Roman" w:cs="Times New Roman"/>
        </w:rPr>
        <w:tab/>
      </w:r>
      <w:r>
        <w:rPr>
          <w:rFonts w:ascii="Times New Roman" w:hAnsi="Times New Roman" w:cs="Times New Roman"/>
        </w:rPr>
        <w:tab/>
      </w:r>
      <w:bookmarkStart w:id="0" w:name="_GoBack"/>
      <w:bookmarkEnd w:id="0"/>
    </w:p>
    <w:p w14:paraId="065789BE" w14:textId="77777777" w:rsidR="00993AFE" w:rsidRDefault="00753F68">
      <w:r>
        <w:rPr>
          <w:rFonts w:ascii="Times New Roman" w:hAnsi="Times New Roman" w:cs="Times New Roman"/>
        </w:rPr>
        <w:t>Af landmand, cand.oecon. Bjarne Brønserud</w:t>
      </w:r>
    </w:p>
    <w:p w14:paraId="674BE4FC" w14:textId="77777777" w:rsidR="00993AFE" w:rsidRDefault="00993AFE"/>
    <w:p w14:paraId="659C82C4" w14:textId="77777777" w:rsidR="00993AFE" w:rsidRDefault="00993AFE"/>
    <w:p w14:paraId="405196A2" w14:textId="77777777" w:rsidR="00993AFE" w:rsidRDefault="00993AFE"/>
    <w:p w14:paraId="150CA13E" w14:textId="77777777" w:rsidR="00993AFE" w:rsidRDefault="00753F68">
      <w:r>
        <w:rPr>
          <w:rFonts w:ascii="Times New Roman" w:hAnsi="Times New Roman" w:cs="Times New Roman"/>
        </w:rPr>
        <w:t>Det har længe forekommet mig, at de danske direktivtekster ikke svarede til de engelske og franske tekster. Jeg har derfor fået vurderet den danske oversættelse af de kritiske passager. Det er der kommet følgende resultat ud af:</w:t>
      </w:r>
    </w:p>
    <w:p w14:paraId="20927994" w14:textId="77777777" w:rsidR="00993AFE" w:rsidRDefault="00993AFE"/>
    <w:p w14:paraId="2E4EE321" w14:textId="77777777" w:rsidR="00993AFE" w:rsidRDefault="00753F68">
      <w:r>
        <w:rPr>
          <w:rFonts w:ascii="Times New Roman" w:hAnsi="Times New Roman" w:cs="Times New Roman"/>
          <w:b/>
          <w:u w:val="single"/>
        </w:rPr>
        <w:t>1. Vandrammedirektivet nr. 2000/60/EF af 23. oktober 2000</w:t>
      </w:r>
      <w:r>
        <w:rPr>
          <w:rFonts w:ascii="Times New Roman" w:hAnsi="Times New Roman" w:cs="Times New Roman"/>
        </w:rPr>
        <w:t>:</w:t>
      </w:r>
    </w:p>
    <w:p w14:paraId="236C43F4" w14:textId="77777777" w:rsidR="00993AFE" w:rsidRDefault="00753F68">
      <w:pPr>
        <w:spacing w:before="100" w:after="100"/>
      </w:pPr>
      <w:r>
        <w:rPr>
          <w:rFonts w:ascii="Times New Roman" w:hAnsi="Times New Roman" w:cs="Times New Roman"/>
        </w:rPr>
        <w:t xml:space="preserve">Definitionen af grundvand lyder i den engelsk/franske vandrammedirektivtekst (oversat til dansk): </w:t>
      </w:r>
      <w:r>
        <w:rPr>
          <w:rFonts w:ascii="Times New Roman" w:hAnsi="Times New Roman" w:cs="Times New Roman"/>
          <w:b/>
        </w:rPr>
        <w:t>alt vand</w:t>
      </w:r>
      <w:r>
        <w:rPr>
          <w:rFonts w:ascii="Times New Roman" w:hAnsi="Times New Roman" w:cs="Times New Roman"/>
        </w:rPr>
        <w:t xml:space="preserve"> under jordens overflade i</w:t>
      </w:r>
      <w:r>
        <w:rPr>
          <w:rFonts w:ascii="Verdana" w:hAnsi="Verdana" w:cs="Verdana"/>
          <w:sz w:val="20"/>
        </w:rPr>
        <w:t xml:space="preserve"> </w:t>
      </w:r>
      <w:r>
        <w:rPr>
          <w:rFonts w:ascii="Verdana" w:hAnsi="Verdana" w:cs="Verdana"/>
          <w:b/>
          <w:sz w:val="20"/>
        </w:rPr>
        <w:t>mætningszonen</w:t>
      </w:r>
      <w:r>
        <w:rPr>
          <w:rFonts w:ascii="Verdana" w:hAnsi="Verdana" w:cs="Verdana"/>
          <w:sz w:val="20"/>
        </w:rPr>
        <w:t xml:space="preserve"> </w:t>
      </w:r>
      <w:r>
        <w:rPr>
          <w:rFonts w:ascii="Times New Roman" w:hAnsi="Times New Roman" w:cs="Times New Roman"/>
        </w:rPr>
        <w:t>og i direkte kontakt med</w:t>
      </w:r>
      <w:r>
        <w:rPr>
          <w:rFonts w:ascii="Verdana" w:hAnsi="Verdana" w:cs="Verdana"/>
          <w:sz w:val="20"/>
        </w:rPr>
        <w:t xml:space="preserve"> </w:t>
      </w:r>
      <w:r>
        <w:rPr>
          <w:rFonts w:ascii="Verdana" w:hAnsi="Verdana" w:cs="Verdana"/>
          <w:b/>
          <w:sz w:val="20"/>
        </w:rPr>
        <w:t>jorden</w:t>
      </w:r>
      <w:r>
        <w:rPr>
          <w:rFonts w:ascii="Verdana" w:hAnsi="Verdana" w:cs="Verdana"/>
          <w:sz w:val="20"/>
        </w:rPr>
        <w:t xml:space="preserve"> eller undergrunden. (</w:t>
      </w:r>
      <w:r>
        <w:rPr>
          <w:rFonts w:ascii="Times New Roman" w:hAnsi="Times New Roman" w:cs="Times New Roman"/>
        </w:rPr>
        <w:t>mine fremhævelser)</w:t>
      </w:r>
    </w:p>
    <w:p w14:paraId="0B77AEC0" w14:textId="77777777" w:rsidR="00993AFE" w:rsidRDefault="00753F68">
      <w:pPr>
        <w:spacing w:before="100" w:after="100"/>
      </w:pPr>
      <w:r>
        <w:rPr>
          <w:rFonts w:ascii="Times New Roman" w:hAnsi="Times New Roman" w:cs="Times New Roman"/>
        </w:rPr>
        <w:t xml:space="preserve">I den tilsvarende danske direktivtekst lyder definitionen: </w:t>
      </w:r>
      <w:r>
        <w:rPr>
          <w:rFonts w:ascii="Verdana" w:hAnsi="Verdana" w:cs="Verdana"/>
          <w:b/>
          <w:sz w:val="20"/>
        </w:rPr>
        <w:t>alle former</w:t>
      </w:r>
      <w:r>
        <w:rPr>
          <w:rFonts w:ascii="Times New Roman" w:hAnsi="Times New Roman" w:cs="Times New Roman"/>
          <w:b/>
        </w:rPr>
        <w:t xml:space="preserve"> for vand</w:t>
      </w:r>
      <w:r>
        <w:rPr>
          <w:rFonts w:ascii="Times New Roman" w:hAnsi="Times New Roman" w:cs="Times New Roman"/>
        </w:rPr>
        <w:t xml:space="preserve"> under jordoverfladen i</w:t>
      </w:r>
      <w:r>
        <w:rPr>
          <w:rFonts w:ascii="Verdana" w:hAnsi="Verdana" w:cs="Verdana"/>
          <w:sz w:val="20"/>
        </w:rPr>
        <w:t xml:space="preserve"> </w:t>
      </w:r>
      <w:r>
        <w:rPr>
          <w:rFonts w:ascii="Verdana" w:hAnsi="Verdana" w:cs="Verdana"/>
          <w:b/>
          <w:sz w:val="20"/>
        </w:rPr>
        <w:t>mættede zoner</w:t>
      </w:r>
      <w:r>
        <w:rPr>
          <w:rFonts w:ascii="Verdana" w:hAnsi="Verdana" w:cs="Verdana"/>
          <w:sz w:val="20"/>
        </w:rPr>
        <w:t xml:space="preserve"> </w:t>
      </w:r>
      <w:r>
        <w:rPr>
          <w:rFonts w:ascii="Times New Roman" w:hAnsi="Times New Roman" w:cs="Times New Roman"/>
        </w:rPr>
        <w:t>og i direkte kontakt med</w:t>
      </w:r>
      <w:r>
        <w:rPr>
          <w:rFonts w:ascii="Verdana" w:hAnsi="Verdana" w:cs="Verdana"/>
          <w:sz w:val="20"/>
        </w:rPr>
        <w:t xml:space="preserve"> </w:t>
      </w:r>
      <w:r>
        <w:rPr>
          <w:rFonts w:ascii="Verdana" w:hAnsi="Verdana" w:cs="Verdana"/>
          <w:b/>
          <w:sz w:val="20"/>
        </w:rPr>
        <w:t>jordoverfladen</w:t>
      </w:r>
      <w:r>
        <w:rPr>
          <w:rFonts w:ascii="Verdana" w:hAnsi="Verdana" w:cs="Verdana"/>
          <w:sz w:val="20"/>
        </w:rPr>
        <w:t xml:space="preserve"> eller undergrunden. </w:t>
      </w:r>
      <w:r>
        <w:rPr>
          <w:rFonts w:ascii="Times New Roman" w:hAnsi="Times New Roman" w:cs="Times New Roman"/>
        </w:rPr>
        <w:t>(mine fremhævelser)</w:t>
      </w:r>
    </w:p>
    <w:p w14:paraId="0977BDB1" w14:textId="77777777" w:rsidR="00993AFE" w:rsidRDefault="00753F68">
      <w:pPr>
        <w:spacing w:before="100" w:after="100"/>
      </w:pPr>
      <w:r>
        <w:rPr>
          <w:rFonts w:ascii="Times New Roman" w:hAnsi="Times New Roman" w:cs="Times New Roman"/>
        </w:rPr>
        <w:t xml:space="preserve">Den danske tekst åbner dermed for, at grundvandet kan måles helt op til </w:t>
      </w:r>
      <w:r>
        <w:rPr>
          <w:rFonts w:ascii="Verdana" w:hAnsi="Verdana" w:cs="Verdana"/>
          <w:sz w:val="20"/>
        </w:rPr>
        <w:t>jordoverfladen (2-3 meter under terræn)</w:t>
      </w:r>
      <w:r>
        <w:rPr>
          <w:rFonts w:ascii="Times New Roman" w:hAnsi="Times New Roman" w:cs="Times New Roman"/>
        </w:rPr>
        <w:t>. Jordoverfladen er ikke nævnt i den engelske eller den franske tekst.</w:t>
      </w:r>
    </w:p>
    <w:p w14:paraId="51B4DCC8" w14:textId="77777777" w:rsidR="00993AFE" w:rsidRDefault="00753F68">
      <w:pPr>
        <w:spacing w:before="100" w:after="100"/>
      </w:pPr>
      <w:r>
        <w:rPr>
          <w:rFonts w:ascii="Times New Roman" w:hAnsi="Times New Roman" w:cs="Times New Roman"/>
        </w:rPr>
        <w:t>Den danske tekst omtaler ”</w:t>
      </w:r>
      <w:r>
        <w:rPr>
          <w:rFonts w:ascii="Times New Roman" w:hAnsi="Times New Roman" w:cs="Times New Roman"/>
          <w:b/>
        </w:rPr>
        <w:t>alle former</w:t>
      </w:r>
      <w:r>
        <w:rPr>
          <w:rFonts w:ascii="Times New Roman" w:hAnsi="Times New Roman" w:cs="Times New Roman"/>
        </w:rPr>
        <w:t>” for vand, dvs. også vand med forhøjet iltindhold (tæt på jordoverfladen) i modsætning til vandet i grundvandsmagasinerne eller i ”</w:t>
      </w:r>
      <w:r>
        <w:rPr>
          <w:rFonts w:ascii="Times New Roman" w:hAnsi="Times New Roman" w:cs="Times New Roman"/>
          <w:b/>
        </w:rPr>
        <w:t>mætningszonen</w:t>
      </w:r>
      <w:r>
        <w:rPr>
          <w:rFonts w:ascii="Times New Roman" w:hAnsi="Times New Roman" w:cs="Times New Roman"/>
        </w:rPr>
        <w:t>”, der har et reduceret iltindhold.</w:t>
      </w:r>
    </w:p>
    <w:p w14:paraId="2286C850" w14:textId="77777777" w:rsidR="00993AFE" w:rsidRDefault="00753F68">
      <w:pPr>
        <w:spacing w:before="100" w:after="100"/>
      </w:pPr>
      <w:r>
        <w:rPr>
          <w:rFonts w:ascii="Times New Roman" w:hAnsi="Times New Roman" w:cs="Times New Roman"/>
        </w:rPr>
        <w:t>Der tales endvidere i den engelsk/franske direktivtekst om ”</w:t>
      </w:r>
      <w:r>
        <w:rPr>
          <w:rFonts w:ascii="Times New Roman" w:hAnsi="Times New Roman" w:cs="Times New Roman"/>
          <w:b/>
        </w:rPr>
        <w:t>mætningszonen</w:t>
      </w:r>
      <w:r>
        <w:rPr>
          <w:rFonts w:ascii="Times New Roman" w:hAnsi="Times New Roman" w:cs="Times New Roman"/>
        </w:rPr>
        <w:t>”, som er den vandmættede zone, som kan findes i undergrunden. Dermed må det læses som vand fra undergrunden, der kan oppumpes året rundt – netop det, der sker fra drikkevandsboringerne. Men i den danske tekst er dette blevet til ”</w:t>
      </w:r>
      <w:r>
        <w:rPr>
          <w:rFonts w:ascii="Times New Roman" w:hAnsi="Times New Roman" w:cs="Times New Roman"/>
          <w:b/>
        </w:rPr>
        <w:t>mættede zoner</w:t>
      </w:r>
      <w:r>
        <w:rPr>
          <w:rFonts w:ascii="Times New Roman" w:hAnsi="Times New Roman" w:cs="Times New Roman"/>
        </w:rPr>
        <w:t>” (i flertal).</w:t>
      </w:r>
    </w:p>
    <w:p w14:paraId="27BF6EDE" w14:textId="77777777" w:rsidR="00993AFE" w:rsidRDefault="00753F68">
      <w:pPr>
        <w:spacing w:before="100" w:after="100"/>
      </w:pPr>
      <w:r>
        <w:rPr>
          <w:rFonts w:ascii="Times New Roman" w:hAnsi="Times New Roman" w:cs="Times New Roman"/>
        </w:rPr>
        <w:t>Dette kan være forklaringen på, at GEUS og DMU/Aarhus Universitet med deres målinger helt op til tæt på eller i jordoverfladen (øverste 2-3 meter) tilsyneladende har ledt efter små lommer af vandmættet jord (såkaldte ”grundvandsreder”). Dvs. vand, der af et vandstandsende lag forhindres i at synke ned til grundvandet i ”mætningszonen”.</w:t>
      </w:r>
    </w:p>
    <w:p w14:paraId="760D1143" w14:textId="77777777" w:rsidR="00993AFE" w:rsidRDefault="00993AFE">
      <w:pPr>
        <w:spacing w:before="100" w:after="100"/>
      </w:pPr>
    </w:p>
    <w:p w14:paraId="6E5C36A4" w14:textId="77777777" w:rsidR="00993AFE" w:rsidRDefault="00753F68">
      <w:pPr>
        <w:spacing w:before="100" w:after="100"/>
      </w:pPr>
      <w:r>
        <w:rPr>
          <w:rFonts w:ascii="Times New Roman" w:hAnsi="Times New Roman" w:cs="Times New Roman"/>
          <w:b/>
          <w:u w:val="single"/>
        </w:rPr>
        <w:t>2. Nitratdirektivet nr. 91/676/EØF af 12. december 1991</w:t>
      </w:r>
      <w:r>
        <w:rPr>
          <w:rFonts w:ascii="Times New Roman" w:hAnsi="Times New Roman" w:cs="Times New Roman"/>
        </w:rPr>
        <w:t>:</w:t>
      </w:r>
    </w:p>
    <w:p w14:paraId="62A922CB" w14:textId="77777777" w:rsidR="00993AFE" w:rsidRDefault="00753F68">
      <w:pPr>
        <w:spacing w:before="100" w:after="100"/>
      </w:pPr>
      <w:r>
        <w:rPr>
          <w:rFonts w:ascii="Times New Roman" w:hAnsi="Times New Roman" w:cs="Times New Roman"/>
        </w:rPr>
        <w:t>Også i Nitratdirektivet er der problemer med den danske oversættelse.</w:t>
      </w:r>
    </w:p>
    <w:p w14:paraId="0DA8B146" w14:textId="77777777" w:rsidR="00993AFE" w:rsidRDefault="00753F68">
      <w:pPr>
        <w:spacing w:before="100" w:after="100"/>
      </w:pPr>
      <w:r>
        <w:rPr>
          <w:rFonts w:ascii="Times New Roman" w:hAnsi="Times New Roman" w:cs="Times New Roman"/>
        </w:rPr>
        <w:t>For at lette forståelsen skal en gængs definition af akvifer først gengives:</w:t>
      </w:r>
    </w:p>
    <w:p w14:paraId="1BA570A5" w14:textId="77777777" w:rsidR="00993AFE" w:rsidRDefault="00753F68">
      <w:pPr>
        <w:spacing w:before="100" w:after="100"/>
      </w:pPr>
      <w:r>
        <w:rPr>
          <w:rFonts w:ascii="Times New Roman" w:hAnsi="Times New Roman" w:cs="Times New Roman"/>
        </w:rPr>
        <w:t>”Et grundvandsmagasin/grundvandsreservoir/akvifer er et vandmættet lag – oftest sand, grus eller kalk – hvorfra der via boringer kan indvindes grundvand til vandforsyning.”  </w:t>
      </w:r>
    </w:p>
    <w:p w14:paraId="34DF35D8" w14:textId="77777777" w:rsidR="00993AFE" w:rsidRDefault="00753F68">
      <w:pPr>
        <w:spacing w:before="100" w:after="100"/>
      </w:pPr>
      <w:r>
        <w:rPr>
          <w:rFonts w:ascii="Times New Roman" w:hAnsi="Times New Roman" w:cs="Times New Roman"/>
        </w:rPr>
        <w:lastRenderedPageBreak/>
        <w:t>Af den engelsk/franske tekst i Nitratdirektivet (oversat til dansk) fremgår det, at ”nitratkoncentrationen i ferskvand” skal overvåges over en periode på et år:</w:t>
      </w:r>
    </w:p>
    <w:p w14:paraId="72217961" w14:textId="77777777" w:rsidR="00993AFE" w:rsidRDefault="00753F68">
      <w:pPr>
        <w:spacing w:before="100" w:after="100"/>
      </w:pPr>
      <w:r>
        <w:rPr>
          <w:rFonts w:ascii="Times New Roman" w:hAnsi="Times New Roman" w:cs="Times New Roman"/>
        </w:rPr>
        <w:t>(</w:t>
      </w:r>
      <w:proofErr w:type="spellStart"/>
      <w:r>
        <w:rPr>
          <w:rFonts w:ascii="Times New Roman" w:hAnsi="Times New Roman" w:cs="Times New Roman"/>
        </w:rPr>
        <w:t>ii</w:t>
      </w:r>
      <w:proofErr w:type="spellEnd"/>
      <w:r>
        <w:rPr>
          <w:rFonts w:ascii="Times New Roman" w:hAnsi="Times New Roman" w:cs="Times New Roman"/>
        </w:rPr>
        <w:t>)          ”på prøveudtagningssteder, som er repræsentative for medlemsstaternes</w:t>
      </w:r>
      <w:r>
        <w:rPr>
          <w:rFonts w:ascii="Verdana" w:hAnsi="Verdana" w:cs="Verdana"/>
          <w:sz w:val="20"/>
        </w:rPr>
        <w:t xml:space="preserve"> </w:t>
      </w:r>
      <w:r>
        <w:rPr>
          <w:rFonts w:ascii="Verdana" w:hAnsi="Verdana" w:cs="Verdana"/>
          <w:b/>
          <w:sz w:val="20"/>
        </w:rPr>
        <w:t>grundvandsmagasiner</w:t>
      </w:r>
      <w:r>
        <w:rPr>
          <w:rFonts w:ascii="Verdana" w:hAnsi="Verdana" w:cs="Verdana"/>
          <w:sz w:val="20"/>
        </w:rPr>
        <w:t xml:space="preserve"> (eller grundvandsreservoirer eller akviferer)” </w:t>
      </w:r>
      <w:r>
        <w:rPr>
          <w:rFonts w:ascii="Times New Roman" w:hAnsi="Times New Roman" w:cs="Times New Roman"/>
        </w:rPr>
        <w:t>(min fremhævelse)</w:t>
      </w:r>
    </w:p>
    <w:p w14:paraId="093A7D3F" w14:textId="77777777" w:rsidR="00993AFE" w:rsidRDefault="00753F68">
      <w:pPr>
        <w:spacing w:before="100" w:after="100"/>
      </w:pPr>
      <w:r>
        <w:rPr>
          <w:rFonts w:ascii="Times New Roman" w:hAnsi="Times New Roman" w:cs="Times New Roman"/>
        </w:rPr>
        <w:t> I den officielle danske oversættelse hedder det imidlertid:</w:t>
      </w:r>
    </w:p>
    <w:p w14:paraId="23E388DE" w14:textId="77777777" w:rsidR="00993AFE" w:rsidRDefault="00753F68">
      <w:pPr>
        <w:spacing w:before="100" w:after="100"/>
      </w:pPr>
      <w:r>
        <w:rPr>
          <w:rFonts w:ascii="Times New Roman" w:hAnsi="Times New Roman" w:cs="Times New Roman"/>
        </w:rPr>
        <w:t>       (</w:t>
      </w:r>
      <w:proofErr w:type="spellStart"/>
      <w:r>
        <w:rPr>
          <w:rFonts w:ascii="Times New Roman" w:hAnsi="Times New Roman" w:cs="Times New Roman"/>
        </w:rPr>
        <w:t>ii</w:t>
      </w:r>
      <w:proofErr w:type="spellEnd"/>
      <w:r>
        <w:rPr>
          <w:rFonts w:ascii="Times New Roman" w:hAnsi="Times New Roman" w:cs="Times New Roman"/>
        </w:rPr>
        <w:t xml:space="preserve">)          ”på prøveudtagningssteder, som er repræsentative for medlemsstaternes </w:t>
      </w:r>
      <w:r>
        <w:rPr>
          <w:rFonts w:ascii="Verdana" w:hAnsi="Verdana" w:cs="Verdana"/>
          <w:b/>
          <w:sz w:val="20"/>
        </w:rPr>
        <w:t>grundvandsførende lag</w:t>
      </w:r>
      <w:r>
        <w:rPr>
          <w:rFonts w:ascii="Verdana" w:hAnsi="Verdana" w:cs="Verdana"/>
          <w:sz w:val="20"/>
        </w:rPr>
        <w:t xml:space="preserve">” </w:t>
      </w:r>
      <w:r>
        <w:rPr>
          <w:rFonts w:ascii="Times New Roman" w:hAnsi="Times New Roman" w:cs="Times New Roman"/>
        </w:rPr>
        <w:t>(min fremhævelse) – som i den danske gengivelse kan være ental eller flertal.</w:t>
      </w:r>
    </w:p>
    <w:p w14:paraId="6B068237" w14:textId="77777777" w:rsidR="00993AFE" w:rsidRDefault="00753F68">
      <w:pPr>
        <w:spacing w:before="100" w:after="100"/>
      </w:pPr>
      <w:r>
        <w:rPr>
          <w:rFonts w:ascii="Times New Roman" w:hAnsi="Times New Roman" w:cs="Times New Roman"/>
        </w:rPr>
        <w:t xml:space="preserve">Hvis dette udlægges som omfattende også de såkaldte ”grundvandsreder”, kan det ligesom det foregående eksempel forklare de høje kvælstofkoncentrationer i vandanalyserne fra de danske overvågningsboringer og jordvandsstationer. Det forklarer også brugen i Danmark af særlige </w:t>
      </w:r>
      <w:proofErr w:type="spellStart"/>
      <w:r>
        <w:rPr>
          <w:rFonts w:ascii="Times New Roman" w:hAnsi="Times New Roman" w:cs="Times New Roman"/>
        </w:rPr>
        <w:t>sugefiltre</w:t>
      </w:r>
      <w:proofErr w:type="spellEnd"/>
      <w:r>
        <w:rPr>
          <w:rFonts w:ascii="Times New Roman" w:hAnsi="Times New Roman" w:cs="Times New Roman"/>
        </w:rPr>
        <w:t xml:space="preserve"> til at hente vandprøver ud af det øverste jordlag (1 meter under terræn), hvor det er sparsomt med vand i vækstsæsonen og helt hen på efteråret.</w:t>
      </w:r>
    </w:p>
    <w:p w14:paraId="73BE6273" w14:textId="77777777" w:rsidR="00993AFE" w:rsidRDefault="00993AFE"/>
    <w:p w14:paraId="69D3DA53" w14:textId="77777777" w:rsidR="00993AFE" w:rsidRDefault="00753F68">
      <w:r>
        <w:rPr>
          <w:rFonts w:ascii="Times New Roman" w:hAnsi="Times New Roman" w:cs="Times New Roman"/>
        </w:rPr>
        <w:t>Vissenbjerg den 5. juni 2019</w:t>
      </w:r>
    </w:p>
    <w:p w14:paraId="7F6B886D" w14:textId="77777777" w:rsidR="00993AFE" w:rsidRDefault="00753F68">
      <w:pPr>
        <w:spacing w:before="100" w:after="100"/>
      </w:pPr>
      <w:r>
        <w:rPr>
          <w:rFonts w:ascii="Times New Roman" w:hAnsi="Times New Roman" w:cs="Times New Roman"/>
        </w:rPr>
        <w:t>Bjarne Brønserud</w:t>
      </w:r>
    </w:p>
    <w:sectPr w:rsidR="00993AFE">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AFE"/>
    <w:rsid w:val="00753F68"/>
    <w:rsid w:val="00993AFE"/>
    <w:rsid w:val="009C6B40"/>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EE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CocoaOOXMLWriter/1348.17</generator>
</meta>
</file>

<file path=customXml/itemProps1.xml><?xml version="1.0" encoding="utf-8"?>
<ds:datastoreItem xmlns:ds="http://schemas.openxmlformats.org/officeDocument/2006/customXml" ds:itemID="{B5061CA7-932B-A944-977E-FA640E7DBB61}">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2885</Characters>
  <Application>Microsoft Macintosh Word</Application>
  <DocSecurity>0</DocSecurity>
  <Lines>24</Lines>
  <Paragraphs>6</Paragraphs>
  <ScaleCrop>false</ScaleCrop>
  <Company>Aars Avis og Bogtrykkeri</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Bjarne Brønserud</dc:creator>
  <cp:lastModifiedBy>Louise Christensen</cp:lastModifiedBy>
  <cp:revision>3</cp:revision>
  <dcterms:created xsi:type="dcterms:W3CDTF">2019-07-04T08:36:00Z</dcterms:created>
  <dcterms:modified xsi:type="dcterms:W3CDTF">2019-07-04T08:38:00Z</dcterms:modified>
</cp:coreProperties>
</file>